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  <w:rPr>
          <w:sz w:val="21"/>
          <w:szCs w:val="21"/>
        </w:rPr>
      </w:pPr>
      <w:r>
        <w:rPr>
          <w:rFonts w:hint="eastAsia"/>
        </w:rPr>
        <w:t>中国国际双节棍协会授权双节棍、段位晋</w:t>
      </w:r>
      <w:bookmarkStart w:id="0" w:name="_GoBack"/>
      <w:bookmarkEnd w:id="0"/>
      <w:r>
        <w:rPr>
          <w:rFonts w:hint="eastAsia"/>
        </w:rPr>
        <w:t>级、教练员、裁判员培训考试定点单位申请表</w:t>
      </w:r>
      <w:r>
        <w:rPr>
          <w:rFonts w:hint="eastAsia"/>
          <w:sz w:val="21"/>
          <w:szCs w:val="21"/>
        </w:rPr>
        <w:t>The Chinese International Nunchaku Association authorized the application form for nunchakus, cadres promotion, coaches, and referee training exams</w:t>
      </w:r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327B5D93"/>
    <w:rsid w:val="7A3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77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